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560"/>
        <w:jc w:val="center"/>
      </w:pPr>
      <w:r>
        <w:rPr>
          <w:b/>
          <w:bCs/>
          <w:color w:val="6B4500"/>
          <w:sz w:val="30"/>
          <w:szCs w:val="30"/>
          <w:shd w:fill="FFE066" w:color="auto" w:val="clear"/>
        </w:rPr>
        <w:t xml:space="preserve">《 DÉNOMINATION SOCIALE 》</w:t>
      </w:r>
    </w:p>
    <w:p>
      <w:pPr>
        <w:spacing w:after="60"/>
        <w:jc w:val="center"/>
      </w:pPr>
      <w:r>
        <w:rPr>
          <w:b/>
          <w:bCs/>
          <w:color w:val="1F5F4F"/>
          <w:sz w:val="22"/>
          <w:szCs w:val="22"/>
        </w:rPr>
        <w:t xml:space="preserve">Société d'exercice libéral à responsabilité limitée de médecins</w:t>
      </w:r>
    </w:p>
    <w:p>
      <w:pPr>
        <w:spacing w:after="60"/>
        <w:jc w:val="center"/>
      </w:pPr>
      <w:r>
        <w:rPr>
          <w:b/>
          <w:bCs/>
          <w:color w:val="1F5F4F"/>
          <w:sz w:val="22"/>
          <w:szCs w:val="22"/>
        </w:rPr>
        <w:t xml:space="preserve">Au capital de </w:t>
      </w:r>
      <w:r>
        <w:rPr>
          <w:b/>
          <w:bCs/>
          <w:color w:val="6B4500"/>
          <w:sz w:val="22"/>
          <w:szCs w:val="22"/>
          <w:shd w:fill="FFE066" w:color="auto" w:val="clear"/>
        </w:rPr>
        <w:t xml:space="preserve">《 CAPITAL 》</w:t>
      </w:r>
      <w:r>
        <w:rPr>
          <w:b/>
          <w:bCs/>
          <w:color w:val="1F5F4F"/>
          <w:sz w:val="22"/>
          <w:szCs w:val="22"/>
        </w:rPr>
        <w:t xml:space="preserve"> euros</w:t>
      </w:r>
    </w:p>
    <w:p>
      <w:pPr>
        <w:spacing w:after="60"/>
        <w:jc w:val="center"/>
      </w:pPr>
      <w:r>
        <w:rPr>
          <w:b/>
          <w:bCs/>
          <w:color w:val="1F5F4F"/>
          <w:sz w:val="22"/>
          <w:szCs w:val="22"/>
        </w:rPr>
        <w:t xml:space="preserve">Siège social : </w:t>
      </w:r>
      <w:r>
        <w:rPr>
          <w:b/>
          <w:bCs/>
          <w:color w:val="6B4500"/>
          <w:sz w:val="22"/>
          <w:szCs w:val="22"/>
          <w:shd w:fill="FFE066" w:color="auto" w:val="clear"/>
        </w:rPr>
        <w:t xml:space="preserve">《 ADRESSE DU SIÈGE 》</w:t>
      </w:r>
    </w:p>
    <w:p>
      <w:pPr>
        <w:spacing w:after="480"/>
        <w:jc w:val="center"/>
      </w:pPr>
      <w:r>
        <w:rPr>
          <w:i/>
          <w:iCs/>
          <w:color w:val="666666"/>
          <w:sz w:val="20"/>
          <w:szCs w:val="20"/>
        </w:rPr>
        <w:t xml:space="preserve">En cours de constitution — inscription au tableau de l'Ordre des médecins</w:t>
      </w:r>
    </w:p>
    <w:p>
      <w:pPr>
        <w:spacing w:after="560" w:before="160"/>
        <w:jc w:val="center"/>
      </w:pPr>
      <w:r>
        <w:rPr>
          <w:b/>
          <w:bCs/>
          <w:color w:val="000000"/>
          <w:sz w:val="28"/>
          <w:szCs w:val="28"/>
        </w:rPr>
        <w:t xml:space="preserve">STATUTS CONSTITUTIFS</w:t>
      </w:r>
    </w:p>
    <w:p>
      <w:r>
        <w:br/>
        <w:t xml:space="preserve"/>
      </w:r>
    </w:p>
    <w:p>
      <w:pPr>
        <w:pBdr>
          <w:bottom w:val="single" w:color="1F5F4F" w:sz="12" w:space="2"/>
        </w:pBdr>
        <w:spacing w:after="120" w:before="260"/>
      </w:pPr>
      <w:r>
        <w:rPr>
          <w:b/>
          <w:bCs/>
          <w:color w:val="000000"/>
          <w:sz w:val="23"/>
          <w:szCs w:val="23"/>
        </w:rPr>
        <w:t xml:space="preserve">LES SOUSSIGNÉS</w:t>
      </w:r>
    </w:p>
    <w:p>
      <w:pPr>
        <w:spacing w:after="170" w:line="340"/>
        <w:jc w:val="both"/>
      </w:pPr>
      <w:r>
        <w:rPr>
          <w:b/>
          <w:bCs/>
          <w:color w:val="6B4500"/>
          <w:sz w:val="22"/>
          <w:szCs w:val="22"/>
          <w:shd w:fill="FFE066" w:color="auto" w:val="clear"/>
        </w:rPr>
        <w:t xml:space="preserve">《 IDENTITÉ DE CHAQUE ASSOCIÉ PROFESSIONNEL EN EXERCICE — civilité, prénoms, nom, date et lieu de naissance, nationalité, diplôme/spécialité, n° ordinal, n° RPPS, adresse 》</w:t>
      </w:r>
    </w:p>
    <w:p>
      <w:pPr>
        <w:spacing w:after="170" w:line="340"/>
        <w:jc w:val="both"/>
      </w:pPr>
      <w:r>
        <w:rPr>
          <w:b/>
          <w:bCs/>
          <w:color w:val="6B4500"/>
          <w:sz w:val="22"/>
          <w:szCs w:val="22"/>
          <w:shd w:fill="FFE066" w:color="auto" w:val="clear"/>
        </w:rPr>
        <w:t xml:space="preserve">《 LE CAS ÉCHÉANT, PERSONNE MORALE ASSOCIÉE (holding) — dénomination, forme, siège, n° RCS 》</w:t>
      </w:r>
    </w:p>
    <w:p>
      <w:pPr>
        <w:spacing w:after="170" w:line="340"/>
        <w:jc w:val="both"/>
      </w:pPr>
      <w:r>
        <w:rPr>
          <w:sz w:val="22"/>
          <w:szCs w:val="22"/>
        </w:rPr>
        <w:t xml:space="preserve">Ont établi ainsi qu'il suit les statuts d'une société d'exercice libéral à responsabilité limitée (la « Société ») qu'ils ont convenu de constituer.</w:t>
      </w:r>
    </w:p>
    <w:p>
      <w:pPr>
        <w:pBdr>
          <w:bottom w:val="single" w:color="1F5F4F" w:sz="12" w:space="2"/>
        </w:pBdr>
        <w:spacing w:after="120" w:before="260"/>
      </w:pPr>
      <w:r>
        <w:rPr>
          <w:b/>
          <w:bCs/>
          <w:color w:val="000000"/>
          <w:sz w:val="23"/>
          <w:szCs w:val="23"/>
        </w:rPr>
        <w:t xml:space="preserve">Article 1 — Forme</w:t>
      </w:r>
    </w:p>
    <w:p>
      <w:pPr>
        <w:spacing w:after="170" w:line="340"/>
        <w:jc w:val="both"/>
      </w:pPr>
      <w:r>
        <w:rPr>
          <w:sz w:val="22"/>
          <w:szCs w:val="22"/>
        </w:rPr>
        <w:t xml:space="preserve">Il est formé entre les propriétaires des parts ci-après créées et de celles qui pourraient l'être ultérieurement une société d'exercice libéral à responsabilité limitée, de nationalité française, régie par les dispositions légales et réglementaires concernant cette forme de société, l'organisation et l'exercice de la profession de médecin, notamment par l'ordonnance n° 2023-77 du 8 février 2023 relative à l'exercice en société des professions libérales réglementées, les articles L. 223-1 et suivants et R. 223-1 et suivants du Code de commerce, les articles R. 4113-1 et suivants et R. 4127-1 et suivants du Code de la santé publique, ainsi que par les présents statuts.</w:t>
      </w:r>
    </w:p>
    <w:p>
      <w:pPr>
        <w:pBdr>
          <w:bottom w:val="single" w:color="1F5F4F" w:sz="12" w:space="2"/>
        </w:pBdr>
        <w:spacing w:after="120" w:before="260"/>
      </w:pPr>
      <w:r>
        <w:rPr>
          <w:b/>
          <w:bCs/>
          <w:color w:val="000000"/>
          <w:sz w:val="23"/>
          <w:szCs w:val="23"/>
        </w:rPr>
        <w:t xml:space="preserve">Article 2 — Dénomination</w:t>
      </w:r>
    </w:p>
    <w:p>
      <w:pPr>
        <w:spacing w:after="170" w:line="340"/>
        <w:jc w:val="both"/>
      </w:pPr>
      <w:r>
        <w:rPr>
          <w:color w:val="000000"/>
          <w:sz w:val="22"/>
          <w:szCs w:val="22"/>
        </w:rPr>
        <w:t xml:space="preserve">La Société est dénommée : </w:t>
      </w:r>
      <w:r>
        <w:rPr>
          <w:b/>
          <w:bCs/>
          <w:color w:val="6B4500"/>
          <w:sz w:val="22"/>
          <w:szCs w:val="22"/>
          <w:shd w:fill="FFE066" w:color="auto" w:val="clear"/>
        </w:rPr>
        <w:t xml:space="preserve">《 DÉNOMINATION SOCIALE 》</w:t>
      </w:r>
      <w:r>
        <w:rPr>
          <w:color w:val="000000"/>
          <w:sz w:val="22"/>
          <w:szCs w:val="22"/>
        </w:rPr>
        <w:t xml:space="preserve">. Dans tous les actes et documents émanant de la Société et destinés aux tiers, la dénomination doit être précédée ou suivie immédiatement des mots « société d'exercice libéral à responsabilité limitée » ou des initiales « S.E.L.A.R.L. de médecins », de l'énonciation du montant du capital social, de son siège social et de la mention de son inscription au tableau de l'Ordre.</w:t>
      </w:r>
    </w:p>
    <w:p>
      <w:pPr>
        <w:pBdr>
          <w:bottom w:val="single" w:color="1F5F4F" w:sz="12" w:space="2"/>
        </w:pBdr>
        <w:spacing w:after="120" w:before="260"/>
      </w:pPr>
      <w:r>
        <w:rPr>
          <w:b/>
          <w:bCs/>
          <w:color w:val="000000"/>
          <w:sz w:val="23"/>
          <w:szCs w:val="23"/>
        </w:rPr>
        <w:t xml:space="preserve">Article 3 — Objet</w:t>
      </w:r>
    </w:p>
    <w:p>
      <w:pPr>
        <w:spacing w:after="170" w:line="340"/>
        <w:jc w:val="both"/>
      </w:pPr>
      <w:r>
        <w:rPr>
          <w:sz w:val="22"/>
          <w:szCs w:val="22"/>
        </w:rPr>
        <w:t xml:space="preserve">La Société a pour objet l'exercice en commun de la profession de médecin, telle qu'elle est définie par les dispositions légales et réglementaires en vigueur ainsi que par le code de déontologie médicale, qui garantissent principalement le respect par la Société et ses associés de l'exercice en toute indépendance professionnelle, du secret professionnel et de l'interdiction stricte de toute mesure susceptible d'entraver le libre choix du praticien par le malade.</w:t>
      </w:r>
    </w:p>
    <w:p>
      <w:pPr>
        <w:spacing w:after="170" w:line="340"/>
        <w:jc w:val="both"/>
      </w:pPr>
      <w:r>
        <w:rPr>
          <w:sz w:val="22"/>
          <w:szCs w:val="22"/>
        </w:rPr>
        <w:t xml:space="preserve">Elle ne peut accomplir les actes de cette profession que par l'intermédiaire d'un de ses membres ayant qualité pour l'exercer. La Société peut également exercer l'activité par voie de remplacement auprès d'autres praticiens ou structures de soins, dans le respect du Code de la santé publique et du code de déontologie, notamment des articles R. 4127-65 et suivants. Elle peut réaliser toutes les opérations compatibles avec cet objet, s'y rapportant et contribuant à sa réalisation.</w:t>
      </w:r>
    </w:p>
    <w:p>
      <w:pPr>
        <w:pBdr>
          <w:bottom w:val="single" w:color="1F5F4F" w:sz="12" w:space="2"/>
        </w:pBdr>
        <w:spacing w:after="120" w:before="260"/>
      </w:pPr>
      <w:r>
        <w:rPr>
          <w:b/>
          <w:bCs/>
          <w:color w:val="000000"/>
          <w:sz w:val="23"/>
          <w:szCs w:val="23"/>
        </w:rPr>
        <w:t xml:space="preserve">Article 4 — Siège social · Lieux d'exercice</w:t>
      </w:r>
    </w:p>
    <w:p>
      <w:pPr>
        <w:spacing w:after="170" w:line="340"/>
        <w:jc w:val="both"/>
      </w:pPr>
      <w:r>
        <w:rPr>
          <w:color w:val="000000"/>
          <w:sz w:val="22"/>
          <w:szCs w:val="22"/>
        </w:rPr>
        <w:t xml:space="preserve">Le siège social est fixé à : </w:t>
      </w:r>
      <w:r>
        <w:rPr>
          <w:b/>
          <w:bCs/>
          <w:color w:val="6B4500"/>
          <w:sz w:val="22"/>
          <w:szCs w:val="22"/>
          <w:shd w:fill="FFE066" w:color="auto" w:val="clear"/>
        </w:rPr>
        <w:t xml:space="preserve">《 ADRESSE DU SIÈGE 》</w:t>
      </w:r>
      <w:r>
        <w:rPr>
          <w:color w:val="000000"/>
          <w:sz w:val="22"/>
          <w:szCs w:val="22"/>
        </w:rPr>
        <w:t xml:space="preserve">. Il pourra être transféré en tout autre lieu conformément aux dispositions légales et réglementaires applicables et par décision des associés dans les conditions requises pour la modification des statuts. Le lieu habituel d'exercice de la Société est celui de sa résidence professionnelle au titre de laquelle elle est inscrite au tableau de l'Ordre.</w:t>
      </w:r>
    </w:p>
    <w:p>
      <w:pPr>
        <w:spacing w:after="170" w:line="340"/>
        <w:jc w:val="both"/>
      </w:pPr>
      <w:r>
        <w:rPr>
          <w:color w:val="000000"/>
          <w:sz w:val="22"/>
          <w:szCs w:val="22"/>
        </w:rPr>
        <w:t xml:space="preserve">La Société pourra exercer son activité sur un ou plusieurs sites distincts, dans les conditions prévues par l'article R. 4113-23 du Code de la santé publique et sous réserve de l'accomplissement des formalités ordinales requises. Les lieux d'exercice de la Société sont les suivants : </w:t>
      </w:r>
      <w:r>
        <w:rPr>
          <w:b/>
          <w:bCs/>
          <w:color w:val="6B4500"/>
          <w:sz w:val="22"/>
          <w:szCs w:val="22"/>
          <w:shd w:fill="FFE066" w:color="auto" w:val="clear"/>
        </w:rPr>
        <w:t xml:space="preserve">《 LIEU(X) D'EXERCICE 》</w:t>
      </w:r>
      <w:r>
        <w:rPr>
          <w:color w:val="000000"/>
          <w:sz w:val="22"/>
          <w:szCs w:val="22"/>
        </w:rPr>
        <w:t xml:space="preserve">.</w:t>
      </w:r>
    </w:p>
    <w:p>
      <w:pPr>
        <w:pBdr>
          <w:bottom w:val="single" w:color="1F5F4F" w:sz="12" w:space="2"/>
        </w:pBdr>
        <w:spacing w:after="120" w:before="260"/>
      </w:pPr>
      <w:r>
        <w:rPr>
          <w:b/>
          <w:bCs/>
          <w:color w:val="000000"/>
          <w:sz w:val="23"/>
          <w:szCs w:val="23"/>
        </w:rPr>
        <w:t xml:space="preserve">Article 5 — Durée de la Société</w:t>
      </w:r>
    </w:p>
    <w:p>
      <w:pPr>
        <w:spacing w:after="170" w:line="340"/>
        <w:jc w:val="both"/>
      </w:pPr>
      <w:r>
        <w:rPr>
          <w:sz w:val="22"/>
          <w:szCs w:val="22"/>
        </w:rPr>
        <w:t xml:space="preserve">La durée de la Société est de 99 années à compter de la date de son immatriculation au registre du commerce et des sociétés. La Société est constituée sous la condition suspensive de son inscription au tableau de l'Ordre, l'immatriculation ne pouvant intervenir avant cette inscription.</w:t>
      </w:r>
    </w:p>
    <w:p>
      <w:pPr>
        <w:pBdr>
          <w:bottom w:val="single" w:color="1F5F4F" w:sz="12" w:space="2"/>
        </w:pBdr>
        <w:spacing w:after="120" w:before="260"/>
      </w:pPr>
      <w:r>
        <w:rPr>
          <w:b/>
          <w:bCs/>
          <w:color w:val="000000"/>
          <w:sz w:val="23"/>
          <w:szCs w:val="23"/>
        </w:rPr>
        <w:t xml:space="preserve">Article 6 — Apports</w:t>
      </w:r>
    </w:p>
    <w:p>
      <w:pPr>
        <w:spacing w:after="170" w:line="340"/>
        <w:jc w:val="both"/>
      </w:pPr>
      <w:r>
        <w:rPr>
          <w:sz w:val="22"/>
          <w:szCs w:val="22"/>
        </w:rPr>
        <w:t xml:space="preserve">Lors de la constitution, les associés apportent à la Société les sommes suivantes, en numéraire :</w:t>
      </w:r>
    </w:p>
    <w:p>
      <w:pPr>
        <w:pStyle w:val="ListParagraph"/>
        <w:numPr>
          <w:ilvl w:val="0"/>
          <w:numId w:val="2"/>
        </w:numPr>
        <w:spacing w:after="90" w:line="340"/>
      </w:pPr>
      <w:r>
        <w:rPr>
          <w:b/>
          <w:bCs/>
          <w:color w:val="6B4500"/>
          <w:sz w:val="22"/>
          <w:szCs w:val="22"/>
          <w:shd w:fill="FFE066" w:color="auto" w:val="clear"/>
        </w:rPr>
        <w:t xml:space="preserve">《 POUR CHAQUE ASSOCIÉ : montant de l'apport en numéraire, déposé au nom de la Société en formation 》</w:t>
      </w:r>
    </w:p>
    <w:p>
      <w:pPr>
        <w:spacing w:after="170" w:line="340"/>
        <w:jc w:val="both"/>
      </w:pPr>
      <w:r>
        <w:rPr>
          <w:color w:val="000000"/>
          <w:sz w:val="22"/>
          <w:szCs w:val="22"/>
        </w:rPr>
        <w:t xml:space="preserve">Banque dépositaire : </w:t>
      </w:r>
      <w:r>
        <w:rPr>
          <w:b/>
          <w:bCs/>
          <w:color w:val="6B4500"/>
          <w:sz w:val="22"/>
          <w:szCs w:val="22"/>
          <w:shd w:fill="FFE066" w:color="auto" w:val="clear"/>
        </w:rPr>
        <w:t xml:space="preserve">《 BANQUE / AGENCE 》</w:t>
      </w:r>
    </w:p>
    <w:p>
      <w:pPr>
        <w:pBdr>
          <w:bottom w:val="single" w:color="1F5F4F" w:sz="12" w:space="2"/>
        </w:pBdr>
        <w:spacing w:after="120" w:before="260"/>
      </w:pPr>
      <w:r>
        <w:rPr>
          <w:b/>
          <w:bCs/>
          <w:color w:val="000000"/>
          <w:sz w:val="23"/>
          <w:szCs w:val="23"/>
        </w:rPr>
        <w:t xml:space="preserve">Article 7 — Capital social</w:t>
      </w:r>
    </w:p>
    <w:p>
      <w:pPr>
        <w:spacing w:after="170" w:line="340"/>
        <w:jc w:val="both"/>
      </w:pPr>
      <w:r>
        <w:rPr>
          <w:color w:val="000000"/>
          <w:sz w:val="22"/>
          <w:szCs w:val="22"/>
        </w:rPr>
        <w:t xml:space="preserve">Le capital social est fixé à la somme de </w:t>
      </w:r>
      <w:r>
        <w:rPr>
          <w:b/>
          <w:bCs/>
          <w:color w:val="6B4500"/>
          <w:sz w:val="22"/>
          <w:szCs w:val="22"/>
          <w:shd w:fill="FFE066" w:color="auto" w:val="clear"/>
        </w:rPr>
        <w:t xml:space="preserve">《 CAPITAL EN LETTRES 》</w:t>
      </w:r>
      <w:r>
        <w:rPr>
          <w:color w:val="000000"/>
          <w:sz w:val="22"/>
          <w:szCs w:val="22"/>
        </w:rPr>
        <w:t xml:space="preserve"> (</w:t>
      </w:r>
      <w:r>
        <w:rPr>
          <w:b/>
          <w:bCs/>
          <w:color w:val="6B4500"/>
          <w:sz w:val="22"/>
          <w:szCs w:val="22"/>
          <w:shd w:fill="FFE066" w:color="auto" w:val="clear"/>
        </w:rPr>
        <w:t xml:space="preserve">《 CAPITAL 》</w:t>
      </w:r>
      <w:r>
        <w:rPr>
          <w:color w:val="000000"/>
          <w:sz w:val="22"/>
          <w:szCs w:val="22"/>
        </w:rPr>
        <w:t xml:space="preserve">) euros.</w:t>
      </w:r>
    </w:p>
    <w:p>
      <w:pPr>
        <w:spacing w:after="170" w:line="340"/>
        <w:jc w:val="both"/>
      </w:pPr>
      <w:r>
        <w:rPr>
          <w:sz w:val="22"/>
          <w:szCs w:val="22"/>
        </w:rPr>
        <w:t xml:space="preserve">Conformément aux dispositions légales et réglementaires applicables aux sociétés d'exercice libéral de médecins, plus de la moitié du capital social et des droits de vote doit être détenue, directement ou indirectement, par des professionnels en exercice au sein de la Société répondant aux conditions prévues par les textes en vigueur. Le quart au plus du capital social peut être détenu par des personnes ne répondant pas aux conditions des articles 46 ou 47 de l'ordonnance n° 2023-77 du 8 février 2023, sous réserve des incompatibilités et exclusions prévues pour la profession. Toute modification de la répartition du capital social devra respecter en permanence ces règles.</w:t>
      </w:r>
    </w:p>
    <w:p>
      <w:pPr>
        <w:spacing w:after="170" w:line="340"/>
        <w:jc w:val="both"/>
      </w:pPr>
      <w:r>
        <w:rPr>
          <w:color w:val="000000"/>
          <w:sz w:val="22"/>
          <w:szCs w:val="22"/>
        </w:rPr>
        <w:t xml:space="preserve">Le capital social est divisé en </w:t>
      </w:r>
      <w:r>
        <w:rPr>
          <w:b/>
          <w:bCs/>
          <w:color w:val="6B4500"/>
          <w:sz w:val="22"/>
          <w:szCs w:val="22"/>
          <w:shd w:fill="FFE066" w:color="auto" w:val="clear"/>
        </w:rPr>
        <w:t xml:space="preserve">《 NOMBRE DE PARTS EN LETTRES 》</w:t>
      </w:r>
      <w:r>
        <w:rPr>
          <w:color w:val="000000"/>
          <w:sz w:val="22"/>
          <w:szCs w:val="22"/>
        </w:rPr>
        <w:t xml:space="preserve"> (</w:t>
      </w:r>
      <w:r>
        <w:rPr>
          <w:b/>
          <w:bCs/>
          <w:color w:val="6B4500"/>
          <w:sz w:val="22"/>
          <w:szCs w:val="22"/>
          <w:shd w:fill="FFE066" w:color="auto" w:val="clear"/>
        </w:rPr>
        <w:t xml:space="preserve">《 NOMBRE DE PARTS 》</w:t>
      </w:r>
      <w:r>
        <w:rPr>
          <w:color w:val="000000"/>
          <w:sz w:val="22"/>
          <w:szCs w:val="22"/>
        </w:rPr>
        <w:t xml:space="preserve">) parts sociales de </w:t>
      </w:r>
      <w:r>
        <w:rPr>
          <w:b/>
          <w:bCs/>
          <w:color w:val="6B4500"/>
          <w:sz w:val="22"/>
          <w:szCs w:val="22"/>
          <w:shd w:fill="FFE066" w:color="auto" w:val="clear"/>
        </w:rPr>
        <w:t xml:space="preserve">《 VALEUR NOMINALE 》</w:t>
      </w:r>
      <w:r>
        <w:rPr>
          <w:color w:val="000000"/>
          <w:sz w:val="22"/>
          <w:szCs w:val="22"/>
        </w:rPr>
        <w:t xml:space="preserve"> euro(s) chacune, entièrement souscrites et libérées, numérotées de 1 à </w:t>
      </w:r>
      <w:r>
        <w:rPr>
          <w:b/>
          <w:bCs/>
          <w:color w:val="6B4500"/>
          <w:sz w:val="22"/>
          <w:szCs w:val="22"/>
          <w:shd w:fill="FFE066" w:color="auto" w:val="clear"/>
        </w:rPr>
        <w:t xml:space="preserve">《 NOMBRE DE PARTS 》</w:t>
      </w:r>
      <w:r>
        <w:rPr>
          <w:color w:val="000000"/>
          <w:sz w:val="22"/>
          <w:szCs w:val="22"/>
        </w:rPr>
        <w:t xml:space="preserve">, réparties en deux catégories aux droits financiers distincts définis aux articles 9 et 20 des présents statuts, et réparties comme suit :</w:t>
      </w:r>
    </w:p>
    <w:p>
      <w:pPr>
        <w:pStyle w:val="ListParagraph"/>
        <w:numPr>
          <w:ilvl w:val="0"/>
          <w:numId w:val="2"/>
        </w:numPr>
        <w:spacing w:after="90" w:line="340"/>
      </w:pPr>
      <w:r>
        <w:rPr>
          <w:b/>
          <w:bCs/>
          <w:color w:val="6B4500"/>
          <w:sz w:val="22"/>
          <w:szCs w:val="22"/>
          <w:shd w:fill="FFE066" w:color="auto" w:val="clear"/>
        </w:rPr>
        <w:t xml:space="preserve">《 PROFESSIONNEL(S) EN EXERCICE 》</w:t>
      </w:r>
      <w:r>
        <w:rPr>
          <w:color w:val="000000"/>
          <w:sz w:val="22"/>
          <w:szCs w:val="22"/>
        </w:rPr>
        <w:t xml:space="preserve"> : </w:t>
      </w:r>
      <w:r>
        <w:rPr>
          <w:b/>
          <w:bCs/>
          <w:color w:val="6B4500"/>
          <w:sz w:val="22"/>
          <w:szCs w:val="22"/>
          <w:shd w:fill="FFE066" w:color="auto" w:val="clear"/>
        </w:rPr>
        <w:t xml:space="preserve">《 NB 》</w:t>
      </w:r>
      <w:r>
        <w:rPr>
          <w:color w:val="000000"/>
          <w:sz w:val="22"/>
          <w:szCs w:val="22"/>
        </w:rPr>
        <w:t xml:space="preserve"> parts sociales ordinaires ;</w:t>
      </w:r>
    </w:p>
    <w:p>
      <w:pPr>
        <w:pStyle w:val="ListParagraph"/>
        <w:numPr>
          <w:ilvl w:val="0"/>
          <w:numId w:val="2"/>
        </w:numPr>
        <w:spacing w:after="90" w:line="340"/>
      </w:pPr>
      <w:r>
        <w:rPr>
          <w:b/>
          <w:bCs/>
          <w:color w:val="6B4500"/>
          <w:sz w:val="22"/>
          <w:szCs w:val="22"/>
          <w:shd w:fill="FFE066" w:color="auto" w:val="clear"/>
        </w:rPr>
        <w:t xml:space="preserve">《 PERSONNE MORALE (holding) 》</w:t>
      </w:r>
      <w:r>
        <w:rPr>
          <w:color w:val="000000"/>
          <w:sz w:val="22"/>
          <w:szCs w:val="22"/>
        </w:rPr>
        <w:t xml:space="preserve"> : </w:t>
      </w:r>
      <w:r>
        <w:rPr>
          <w:b/>
          <w:bCs/>
          <w:color w:val="6B4500"/>
          <w:sz w:val="22"/>
          <w:szCs w:val="22"/>
          <w:shd w:fill="FFE066" w:color="auto" w:val="clear"/>
        </w:rPr>
        <w:t xml:space="preserve">《 NB 》</w:t>
      </w:r>
      <w:r>
        <w:rPr>
          <w:color w:val="000000"/>
          <w:sz w:val="22"/>
          <w:szCs w:val="22"/>
        </w:rPr>
        <w:t xml:space="preserve"> parts sociales de catégorie B, à droits financiers préférentiels.</w:t>
      </w:r>
    </w:p>
    <w:p>
      <w:pPr>
        <w:pBdr>
          <w:bottom w:val="single" w:color="1F5F4F" w:sz="12" w:space="2"/>
        </w:pBdr>
        <w:spacing w:after="120" w:before="260"/>
      </w:pPr>
      <w:r>
        <w:rPr>
          <w:b/>
          <w:bCs/>
          <w:color w:val="000000"/>
          <w:sz w:val="23"/>
          <w:szCs w:val="23"/>
        </w:rPr>
        <w:t xml:space="preserve">Article 8 — Augmentation et réduction du capital · Rompus</w:t>
      </w:r>
    </w:p>
    <w:p>
      <w:pPr>
        <w:spacing w:after="170" w:line="340"/>
        <w:jc w:val="both"/>
      </w:pPr>
      <w:r>
        <w:rPr>
          <w:sz w:val="22"/>
          <w:szCs w:val="22"/>
        </w:rPr>
        <w:t xml:space="preserve">Le capital peut être augmenté ou réduit dans les conditions et suivant les modalités fixées par les dispositions légales et réglementaires en vigueur. Toute personne entrant dans la Société à l'occasion d'une augmentation du capital doit être agréée dans les conditions fixées à l'article 10. Toute augmentation de capital par attribution de parts gratuites peut être réalisée nonobstant l'existence de rompus, les associés disposant d'un nombre insuffisant de droits d'attribution devant faire leur affaire personnelle de toute acquisition ou cession de droits nécessaires. Il en est de même en cas de réduction de capital par réduction du nombre de parts, en cas d'échange de parts consécutif à une fusion, scission, regroupement ou division.</w:t>
      </w:r>
    </w:p>
    <w:p>
      <w:pPr>
        <w:pBdr>
          <w:bottom w:val="single" w:color="1F5F4F" w:sz="12" w:space="2"/>
        </w:pBdr>
        <w:spacing w:after="120" w:before="260"/>
      </w:pPr>
      <w:r>
        <w:rPr>
          <w:b/>
          <w:bCs/>
          <w:color w:val="000000"/>
          <w:sz w:val="23"/>
          <w:szCs w:val="23"/>
        </w:rPr>
        <w:t xml:space="preserve">Article 9 — Droits et obligations attachés aux parts sociales</w:t>
      </w:r>
    </w:p>
    <w:p>
      <w:pPr>
        <w:spacing w:after="170" w:line="340"/>
        <w:jc w:val="both"/>
      </w:pPr>
      <w:r>
        <w:rPr>
          <w:sz w:val="22"/>
          <w:szCs w:val="22"/>
        </w:rPr>
        <w:t xml:space="preserve">Chaque part sociale, qu'elle soit ordinaire ou de catégorie B, donne droit à une voix dans les votes et confère à son propriétaire les mêmes droits dans le partage de l'actif social. En revanche, par dérogation au principe de proportionnalité prévu à l'article 1844-1 alinéa 1er du Code civil, les droits aux bénéfices distribuables attachés à chacune des deux catégories de parts sont déterminés selon les modalités prévues à l'article 20 des présents statuts.</w:t>
      </w:r>
    </w:p>
    <w:p>
      <w:pPr>
        <w:spacing w:after="170" w:line="340"/>
        <w:jc w:val="both"/>
      </w:pPr>
      <w:r>
        <w:rPr>
          <w:sz w:val="22"/>
          <w:szCs w:val="22"/>
        </w:rPr>
        <w:t xml:space="preserve">Sous réserve des dispositions légales rendant temporairement les associés solidairement responsables vis-à-vis des tiers de la valeur attribuée aux apports en nature, les associés ne supportent les pertes que jusqu'à concurrence de leurs apports. Chaque associé professionnel répond, sur l'ensemble de son patrimoine, des actes professionnels qu'il accomplit ; la Société est solidairement responsable avec lui.</w:t>
      </w:r>
    </w:p>
    <w:p>
      <w:pPr>
        <w:spacing w:after="170" w:line="340"/>
        <w:jc w:val="both"/>
      </w:pPr>
      <w:r>
        <w:rPr>
          <w:sz w:val="22"/>
          <w:szCs w:val="22"/>
        </w:rPr>
        <w:t xml:space="preserve">La propriété d'une part emporte de plein droit adhésion aux présents statuts, aux décisions prises par la collectivité des associés et au règlement intérieur applicable. Chaque part est indivisible à l'égard de la Société ; les propriétaires indivis sont tenus de se faire représenter par un mandataire commun. L'usufruitier exerce seul le droit de vote attaché aux parts dont la propriété est démembrée, sans préjudice du droit du nu-propriétaire de participer à toutes les décisions collectives.</w:t>
      </w:r>
    </w:p>
    <w:p>
      <w:pPr>
        <w:pBdr>
          <w:bottom w:val="single" w:color="1F5F4F" w:sz="12" w:space="2"/>
        </w:pBdr>
        <w:spacing w:after="120" w:before="260"/>
      </w:pPr>
      <w:r>
        <w:rPr>
          <w:b/>
          <w:bCs/>
          <w:color w:val="000000"/>
          <w:sz w:val="23"/>
          <w:szCs w:val="23"/>
        </w:rPr>
        <w:t xml:space="preserve">Article 10 — Transmission des parts</w:t>
      </w:r>
    </w:p>
    <w:p>
      <w:pPr>
        <w:spacing w:after="60" w:before="140"/>
      </w:pPr>
      <w:r>
        <w:rPr>
          <w:b/>
          <w:bCs/>
          <w:sz w:val="22"/>
          <w:szCs w:val="22"/>
        </w:rPr>
        <w:t xml:space="preserve">1. Dispositions générales</w:t>
      </w:r>
    </w:p>
    <w:p>
      <w:pPr>
        <w:spacing w:after="170" w:line="340"/>
        <w:jc w:val="both"/>
      </w:pPr>
      <w:r>
        <w:rPr>
          <w:sz w:val="22"/>
          <w:szCs w:val="22"/>
        </w:rPr>
        <w:t xml:space="preserve">Les parts ne peuvent être transmises ou cédées qu'au profit d'une personne pouvant légalement détenir des parts de la Société au regard des dispositions légales et réglementaires applicables. Cette réserve vaut pour tous les cas de transmission ou de cession ci-après prévus. Toute cession de parts sociales doit être constatée par écrit, par acte authentique ou sous signature privée.</w:t>
      </w:r>
    </w:p>
    <w:p>
      <w:pPr>
        <w:spacing w:after="60" w:before="140"/>
      </w:pPr>
      <w:r>
        <w:rPr>
          <w:b/>
          <w:bCs/>
          <w:sz w:val="22"/>
          <w:szCs w:val="22"/>
        </w:rPr>
        <w:t xml:space="preserve">2. Cessions de parts entre vifs</w:t>
      </w:r>
    </w:p>
    <w:p>
      <w:pPr>
        <w:spacing w:after="170" w:line="340"/>
        <w:jc w:val="both"/>
      </w:pPr>
      <w:r>
        <w:rPr>
          <w:sz w:val="22"/>
          <w:szCs w:val="22"/>
        </w:rPr>
        <w:t xml:space="preserve">Les parts ne peuvent être transmises à un associé ou à un tiers, à quelque titre que ce soit, et même au profit du conjoint, d'un ascendant ou d'un descendant, qu'avec le consentement donné à la majorité d'au moins la moitié des parts sociales détenues par les associés exerçant leur profession au sein de la Société.</w:t>
      </w:r>
    </w:p>
    <w:p>
      <w:pPr>
        <w:spacing w:after="170" w:line="340"/>
        <w:jc w:val="both"/>
      </w:pPr>
      <w:r>
        <w:rPr>
          <w:sz w:val="22"/>
          <w:szCs w:val="22"/>
        </w:rPr>
        <w:t xml:space="preserve">Sauf convention écrite souscrite entre tous les associés, le projet de cession est notifié à la Société et à chacun des associés par acte extrajudiciaire ou par lettre recommandée avec demande d'avis de réception, indiquant les nom, prénoms, profession, domicile et nationalité du cessionnaire proposé (ou, s'il s'agit d'une personne morale, sa dénomination, sa forme, son capital et son siège social) ainsi que le nombre de parts dont la cession est soumise à l'agrément. Dans le délai de huit jours, la gérance doit convoquer l'assemblée générale ou consulter les associés par écrit. La décision, qui n'a pas à être motivée, est notifiée au cédant par lettre recommandée avec demande d'avis de réception.</w:t>
      </w:r>
    </w:p>
    <w:p>
      <w:pPr>
        <w:spacing w:after="170" w:line="340"/>
        <w:jc w:val="both"/>
      </w:pPr>
      <w:r>
        <w:rPr>
          <w:sz w:val="22"/>
          <w:szCs w:val="22"/>
        </w:rPr>
        <w:t xml:space="preserve">Si la Société n'a pas fait connaître sa décision dans le délai de trois mois à compter de la dernière des notifications, le consentement à la cession est réputé acquis. Si la Société a refusé de consentir à la cession, le cédant peut, dans le délai de huit jours de la notification du refus, signifier qu'il renonce à son projet. À défaut de renonciation, les associés sont tenus, dans le délai de trois mois à compter du refus, d'acquérir ou de faire acquérir les parts à un prix fixé à dire d'expert dans les conditions de l'article 1843-4 du Code civil ; ce délai peut être prolongé une seule fois par décision du président du tribunal judiciaire. Le prix est payé comptant, sauf convention contraire. Si le cédant y consent, la Société peut racheter les parts en réduisant corrélativement son capital.</w:t>
      </w:r>
    </w:p>
    <w:p>
      <w:pPr>
        <w:spacing w:after="170" w:line="340"/>
        <w:jc w:val="both"/>
      </w:pPr>
      <w:r>
        <w:rPr>
          <w:sz w:val="22"/>
          <w:szCs w:val="22"/>
        </w:rPr>
        <w:t xml:space="preserve">Si, à l'expiration du délai imparti et éventuellement prorogé, aucune des solutions prévues n'est intervenue, l'associé peut réaliser la cession initialement projetée si elle a lieu au bénéfice d'un ascendant, descendant ou de son conjoint, ou, dans tout autre cas, s'il détient ses parts depuis au moins deux ans ou les a reçues par succession, liquidation de communauté ou donation de son conjoint, d'un ascendant ou descendant. La procédure s'applique même aux adjudications publiques.</w:t>
      </w:r>
    </w:p>
    <w:p>
      <w:pPr>
        <w:spacing w:after="60" w:before="140"/>
      </w:pPr>
      <w:r>
        <w:rPr>
          <w:b/>
          <w:bCs/>
          <w:sz w:val="22"/>
          <w:szCs w:val="22"/>
        </w:rPr>
        <w:t xml:space="preserve">3. Transmission par décès</w:t>
      </w:r>
    </w:p>
    <w:p>
      <w:pPr>
        <w:spacing w:after="170" w:line="340"/>
        <w:jc w:val="both"/>
      </w:pPr>
      <w:r>
        <w:rPr>
          <w:sz w:val="22"/>
          <w:szCs w:val="22"/>
        </w:rPr>
        <w:t xml:space="preserve">En cas de décès d'un associé exerçant au sein de la Société, ses parts ne sont pas librement transmises, même au profit d'une personne déjà associée. Les héritiers ou ayants droit ne deviennent associés que s'ils reçoivent l'agrément donné à la majorité d'au moins la moitié des parts sociales détenues par les associés exerçant leur profession au sein de la Société, selon la procédure prévue au paragraphe 2 ci-dessus. Toutefois, lorsque, à l'expiration du délai de cinq ans à compter du décès, les héritiers et ayants droit n'ont pas cédé les parts qu'ils détiennent, la Société peut, nonobstant leur opposition, décider de réduire son capital et de les racheter. En cas de décès d'un associé non exerçant, ses parts ne sont pas non plus librement transmises et sont soumises au même agrément.</w:t>
      </w:r>
    </w:p>
    <w:p>
      <w:pPr>
        <w:spacing w:after="60" w:before="140"/>
      </w:pPr>
      <w:r>
        <w:rPr>
          <w:b/>
          <w:bCs/>
          <w:sz w:val="22"/>
          <w:szCs w:val="22"/>
        </w:rPr>
        <w:t xml:space="preserve">4. Liquidation d'une communauté de biens entre époux</w:t>
      </w:r>
    </w:p>
    <w:p>
      <w:pPr>
        <w:spacing w:after="170" w:line="340"/>
        <w:jc w:val="both"/>
      </w:pPr>
      <w:r>
        <w:rPr>
          <w:sz w:val="22"/>
          <w:szCs w:val="22"/>
        </w:rPr>
        <w:t xml:space="preserve">En cas de dissolution de communauté par le décès du conjoint de l'époux associé, l'agrément du conjoint survivant et des héritiers est exigé à la majorité d'au moins la moitié des parts sociales détenues par les associés exerçant leur profession au sein de la Société. De même, en cas de liquidation de communauté du vivant des époux, l'attribution définitive de parts au conjoint de l'associé est soumise à agrément. Le conjoint non agréé, attributaire de parts, est créancier de leur valeur.</w:t>
      </w:r>
    </w:p>
    <w:p>
      <w:pPr>
        <w:spacing w:after="60" w:before="140"/>
      </w:pPr>
      <w:r>
        <w:rPr>
          <w:b/>
          <w:bCs/>
          <w:sz w:val="22"/>
          <w:szCs w:val="22"/>
        </w:rPr>
        <w:t xml:space="preserve">5. Revendication de la qualité d'associé par un époux commun en biens</w:t>
      </w:r>
    </w:p>
    <w:p>
      <w:pPr>
        <w:spacing w:after="170" w:line="340"/>
        <w:jc w:val="both"/>
      </w:pPr>
      <w:r>
        <w:rPr>
          <w:sz w:val="22"/>
          <w:szCs w:val="22"/>
        </w:rPr>
        <w:t xml:space="preserve">Si, durant la communauté, le conjoint de l'époux associé notifie son intention d'être personnellement associé, postérieurement à l'apport ou à l'acquisition de parts, conformément à l'article 1832-2 du Code civil, il doit être agréé par une décision prise à la majorité d'au moins la moitié des parts sociales détenues par les associés exerçant leur profession au sein de la Société, l'époux associé ne participant pas au vote.</w:t>
      </w:r>
    </w:p>
    <w:p>
      <w:pPr>
        <w:spacing w:after="60" w:before="140"/>
      </w:pPr>
      <w:r>
        <w:rPr>
          <w:b/>
          <w:bCs/>
          <w:sz w:val="22"/>
          <w:szCs w:val="22"/>
        </w:rPr>
        <w:t xml:space="preserve">6. Nantissement de parts</w:t>
      </w:r>
    </w:p>
    <w:p>
      <w:pPr>
        <w:spacing w:after="170" w:line="340"/>
        <w:jc w:val="both"/>
      </w:pPr>
      <w:r>
        <w:rPr>
          <w:sz w:val="22"/>
          <w:szCs w:val="22"/>
        </w:rPr>
        <w:t xml:space="preserve">Si les parts sociales sont vendues, selon les dispositions de l'article 1867 du Code civil, en exécution d'un nantissement ayant reçu le consentement préalable de la Société, le cessionnaire se trouve de plein droit agréé comme nouvel associé, à moins que la Société ne préfère, après la cession, racheter sans délai les parts en vue de réduire son capital.</w:t>
      </w:r>
    </w:p>
    <w:p>
      <w:pPr>
        <w:spacing w:after="60" w:before="140"/>
      </w:pPr>
      <w:r>
        <w:rPr>
          <w:b/>
          <w:bCs/>
          <w:sz w:val="22"/>
          <w:szCs w:val="22"/>
        </w:rPr>
        <w:t xml:space="preserve">7. Notifications</w:t>
      </w:r>
    </w:p>
    <w:p>
      <w:pPr>
        <w:spacing w:after="170" w:line="340"/>
        <w:jc w:val="both"/>
      </w:pPr>
      <w:r>
        <w:rPr>
          <w:sz w:val="22"/>
          <w:szCs w:val="22"/>
        </w:rPr>
        <w:t xml:space="preserve">Toutes notifications de demandes, réponses, avis, mises en demeure et sommations sont faites par acte extrajudiciaire ou par lettre recommandée avec demande d'accusé de réception.</w:t>
      </w:r>
    </w:p>
    <w:p>
      <w:pPr>
        <w:pBdr>
          <w:bottom w:val="single" w:color="1F5F4F" w:sz="12" w:space="2"/>
        </w:pBdr>
        <w:spacing w:after="120" w:before="260"/>
      </w:pPr>
      <w:r>
        <w:rPr>
          <w:b/>
          <w:bCs/>
          <w:color w:val="000000"/>
          <w:sz w:val="23"/>
          <w:szCs w:val="23"/>
        </w:rPr>
        <w:t xml:space="preserve">Article 11 — Exclusion · Suspension</w:t>
      </w:r>
    </w:p>
    <w:p>
      <w:pPr>
        <w:spacing w:after="170" w:line="340"/>
        <w:jc w:val="both"/>
      </w:pPr>
      <w:r>
        <w:rPr>
          <w:sz w:val="22"/>
          <w:szCs w:val="22"/>
        </w:rPr>
        <w:t xml:space="preserve">Conformément à l'article R. 4113-16 du Code de la santé publique, l'associé exerçant son activité au sein de la Société peut être exclu : soit lorsqu'il est frappé d'une sanction entraînant une interdiction d'exercice ou de dispenser des soins aux assurés sociaux, égale ou supérieure à trois mois ; soit lorsqu'il contrevient aux règles de fonctionnement de la Société et notamment du règlement intérieur, s'il existe.</w:t>
      </w:r>
    </w:p>
    <w:p>
      <w:pPr>
        <w:spacing w:after="170" w:line="340"/>
        <w:jc w:val="both"/>
      </w:pPr>
      <w:r>
        <w:rPr>
          <w:sz w:val="22"/>
          <w:szCs w:val="22"/>
        </w:rPr>
        <w:t xml:space="preserve">Cette exclusion est décidée par les associés à la majorité prévue pour les décisions extraordinaires, calculée en excluant l'intéressé et les associés ayant fait l'objet d'une sanction pour les mêmes faits ou des faits connexes, l'unanimité des autres associés exerçant au sein de la Société devant être recueillie. Aucune décision d'exclusion ne peut être prise si l'associé n'a pas été régulièrement convoqué à l'assemblée quinze jours au moins avant la date prévue, par lettre recommandée avec accusé de réception, et mis à même de présenter sa défense. Les parts de l'associé exclu sont soit achetées par un acquéreur agréé, soit achetées par la Société qui doit alors réduire son capital ; à défaut d'accord sur le prix, il est recouru à l'article 1843-4 du Code civil. En outre, tout associé peut être exclu s'il cesse de respecter les conditions de l'article 7 relatives à la composition du capital social.</w:t>
      </w:r>
    </w:p>
    <w:p>
      <w:pPr>
        <w:pBdr>
          <w:bottom w:val="single" w:color="1F5F4F" w:sz="12" w:space="2"/>
        </w:pBdr>
        <w:spacing w:after="120" w:before="260"/>
      </w:pPr>
      <w:r>
        <w:rPr>
          <w:b/>
          <w:bCs/>
          <w:color w:val="000000"/>
          <w:sz w:val="23"/>
          <w:szCs w:val="23"/>
        </w:rPr>
        <w:t xml:space="preserve">Article 12 — Cessation d'activité · Retrait · Invalidité</w:t>
      </w:r>
    </w:p>
    <w:p>
      <w:pPr>
        <w:spacing w:after="170" w:line="340"/>
        <w:jc w:val="both"/>
      </w:pPr>
      <w:r>
        <w:rPr>
          <w:sz w:val="22"/>
          <w:szCs w:val="22"/>
        </w:rPr>
        <w:t xml:space="preserve">Tout associé peut cesser son activité au sein de la Société à la condition d'en informer celle-ci par lettre recommandée avec accusé de réception six mois au moins à l'avance, et d'aviser le Conseil départemental de l'Ordre. La cessation résulte également de plein droit de l'atteinte de l'âge de la retraite prévu au règlement intérieur, de l'incapacité professionnelle définitive, ou d'une absence d'une durée continue supérieure à 24 mois (ou discontinue de 24 mois mesurée sur 36 mois consécutifs). L'associé cessant son activité est tenu de céder ses parts dans les conditions prévues pour les cessions entre vifs, sauf autorisation de l'assemblée de conserver ses parts en qualité d'« Ancien Associé ».</w:t>
      </w:r>
    </w:p>
    <w:p>
      <w:pPr>
        <w:pBdr>
          <w:bottom w:val="single" w:color="1F5F4F" w:sz="12" w:space="2"/>
        </w:pBdr>
        <w:spacing w:after="120" w:before="260"/>
      </w:pPr>
      <w:r>
        <w:rPr>
          <w:b/>
          <w:bCs/>
          <w:color w:val="000000"/>
          <w:sz w:val="23"/>
          <w:szCs w:val="23"/>
        </w:rPr>
        <w:t xml:space="preserve">Article 13 — Dépôts de fonds par les associés</w:t>
      </w:r>
    </w:p>
    <w:p>
      <w:pPr>
        <w:spacing w:after="170" w:line="340"/>
        <w:jc w:val="both"/>
      </w:pPr>
      <w:r>
        <w:rPr>
          <w:sz w:val="22"/>
          <w:szCs w:val="22"/>
        </w:rPr>
        <w:t xml:space="preserve">Les associés peuvent mettre en compte courant des fonds à la disposition de la Société. S'il s'agit d'un associé professionnel, le montant maximum de ces sommes est fixé à trois fois sa participation au capital ; s'il s'agit de tout autre associé, il est égal à sa participation au capital. Les sommes inscrites aux comptes d'associés ne peuvent être retirées qu'après une notification faite à la Société par lettre recommandée avec avis de réception, avec un préavis de six mois dans le premier cas et d'un an dans le second.</w:t>
      </w:r>
    </w:p>
    <w:p>
      <w:pPr>
        <w:pBdr>
          <w:bottom w:val="single" w:color="1F5F4F" w:sz="12" w:space="2"/>
        </w:pBdr>
        <w:spacing w:after="120" w:before="260"/>
      </w:pPr>
      <w:r>
        <w:rPr>
          <w:b/>
          <w:bCs/>
          <w:color w:val="000000"/>
          <w:sz w:val="23"/>
          <w:szCs w:val="23"/>
        </w:rPr>
        <w:t xml:space="preserve">Article 14 — Conventions entre la Société et ses associés ou gérants</w:t>
      </w:r>
    </w:p>
    <w:p>
      <w:pPr>
        <w:spacing w:after="170" w:line="340"/>
        <w:jc w:val="both"/>
      </w:pPr>
      <w:r>
        <w:rPr>
          <w:sz w:val="22"/>
          <w:szCs w:val="22"/>
        </w:rPr>
        <w:t xml:space="preserve">Les conventions intervenues entre la Société et ses associés ou gérants sont soumises au contrôle dans les conditions et selon les modalités fixées par les dispositions légales et réglementaires en vigueur. Seuls les associés professionnels prennent part aux délibérations lorsque les conventions en cause portent sur les conditions dans lesquelles ils exercent leur profession au sein de la Société.</w:t>
      </w:r>
    </w:p>
    <w:p>
      <w:pPr>
        <w:pBdr>
          <w:bottom w:val="single" w:color="1F5F4F" w:sz="12" w:space="2"/>
        </w:pBdr>
        <w:spacing w:after="120" w:before="260"/>
      </w:pPr>
      <w:r>
        <w:rPr>
          <w:b/>
          <w:bCs/>
          <w:color w:val="000000"/>
          <w:sz w:val="23"/>
          <w:szCs w:val="23"/>
        </w:rPr>
        <w:t xml:space="preserve">Article 15 — Gérance</w:t>
      </w:r>
    </w:p>
    <w:p>
      <w:pPr>
        <w:spacing w:after="170" w:line="340"/>
        <w:jc w:val="both"/>
      </w:pPr>
      <w:r>
        <w:rPr>
          <w:sz w:val="22"/>
          <w:szCs w:val="22"/>
        </w:rPr>
        <w:t xml:space="preserve">La Société est administrée par un ou plusieurs gérants pris parmi les associés professionnels et nommés, pour une durée limitée ou non, par décision adoptée par un ou plusieurs associés représentant plus de la moitié des parts sociales. Chacun des gérants a les pouvoirs les plus étendus pour agir au nom et pour le compte de la Société en toutes circonstances, dans les limites de l'objet social, sans avoir à justifier de pouvoirs spéciaux et sans que ces pouvoirs puissent porter atteinte aux règles déontologiques, à l'indépendance professionnelle des médecins exerçant au sein de la Société, ni aux attributions réservées par la loi ou les statuts.</w:t>
      </w:r>
    </w:p>
    <w:p>
      <w:pPr>
        <w:spacing w:after="170" w:line="340"/>
        <w:jc w:val="both"/>
      </w:pPr>
      <w:r>
        <w:rPr>
          <w:sz w:val="22"/>
          <w:szCs w:val="22"/>
        </w:rPr>
        <w:t xml:space="preserve">Le ou les gérants sont tenus de consacrer leur temps et les soins nécessaires aux affaires sociales. Révocable par décision ordinaire des associés prise à la majorité des parts sociales, sans réduction sur seconde consultation, le gérant peut démissionner en prévenant les associés avec un préavis de six mois, lequel peut être réduit par décision des associés. Chaque gérant a droit à un traitement fixe et/ou proportionnel déterminé par décision collective ordinaire, et au remboursement de ses frais de représentation et de déplacement.</w:t>
      </w:r>
    </w:p>
    <w:p>
      <w:pPr>
        <w:spacing w:after="170" w:line="340"/>
        <w:jc w:val="both"/>
      </w:pPr>
      <w:r>
        <w:rPr>
          <w:color w:val="000000"/>
          <w:sz w:val="22"/>
          <w:szCs w:val="22"/>
        </w:rPr>
        <w:t xml:space="preserve">Le premier gérant de la Société est </w:t>
      </w:r>
      <w:r>
        <w:rPr>
          <w:b/>
          <w:bCs/>
          <w:color w:val="6B4500"/>
          <w:sz w:val="22"/>
          <w:szCs w:val="22"/>
          <w:shd w:fill="FFE066" w:color="auto" w:val="clear"/>
        </w:rPr>
        <w:t xml:space="preserve">《 PRÉNOM NOM DU GÉRANT 》</w:t>
      </w:r>
      <w:r>
        <w:rPr>
          <w:color w:val="000000"/>
          <w:sz w:val="22"/>
          <w:szCs w:val="22"/>
        </w:rPr>
        <w:t xml:space="preserve">, nommé(e) pour une durée indéterminée.</w:t>
      </w:r>
    </w:p>
    <w:p>
      <w:pPr>
        <w:pBdr>
          <w:bottom w:val="single" w:color="1F5F4F" w:sz="12" w:space="2"/>
        </w:pBdr>
        <w:spacing w:after="120" w:before="260"/>
      </w:pPr>
      <w:r>
        <w:rPr>
          <w:b/>
          <w:bCs/>
          <w:color w:val="000000"/>
          <w:sz w:val="23"/>
          <w:szCs w:val="23"/>
        </w:rPr>
        <w:t xml:space="preserve">Article 16 — Décisions collectives</w:t>
      </w:r>
    </w:p>
    <w:p>
      <w:pPr>
        <w:spacing w:after="170" w:line="340"/>
        <w:jc w:val="both"/>
      </w:pPr>
      <w:r>
        <w:rPr>
          <w:sz w:val="22"/>
          <w:szCs w:val="22"/>
        </w:rPr>
        <w:t xml:space="preserve">La volonté des associés s'exprime par des décisions collectives qui, régulièrement prises, obligent tous les associés. Elles sont qualifiées d'extraordinaires quand elles entraînent une modification des statuts, et d'ordinaires dans tous les autres cas. Elles résultent, au choix de la gérance, d'une assemblée générale ou d'une consultation écrite ; toutefois, la réunion d'une assemblée est obligatoire pour statuer sur l'approbation des comptes de chaque exercice ou la réduction du capital. Une feuille de présence est émargée par les membres de l'assemblée ; le procès-verbal en tient lieu lorsqu'il est signé de tous les associés présents. La volonté unanime des associés peut être constatée par acte.</w:t>
      </w:r>
    </w:p>
    <w:p>
      <w:pPr>
        <w:pBdr>
          <w:bottom w:val="single" w:color="1F5F4F" w:sz="12" w:space="2"/>
        </w:pBdr>
        <w:spacing w:after="120" w:before="260"/>
      </w:pPr>
      <w:r>
        <w:rPr>
          <w:b/>
          <w:bCs/>
          <w:color w:val="000000"/>
          <w:sz w:val="23"/>
          <w:szCs w:val="23"/>
        </w:rPr>
        <w:t xml:space="preserve">Article 17 — Majorités</w:t>
      </w:r>
    </w:p>
    <w:p>
      <w:pPr>
        <w:spacing w:after="170" w:line="340"/>
        <w:jc w:val="both"/>
      </w:pPr>
      <w:r>
        <w:rPr>
          <w:sz w:val="22"/>
          <w:szCs w:val="22"/>
        </w:rPr>
        <w:t xml:space="preserve">Hormis les exceptions prévues par la loi, les décisions collectives ordinaires sont adoptées par un ou plusieurs associés représentant plus de la moitié des parts sociales ; si cette majorité n'est pas obtenue à la première consultation, les associés sont consultés une seconde fois et les décisions sont valablement adoptées à la majorité des votes émis. Toutefois, la majorité représentant plus de la moitié des parts sociales reste toujours requise pour la nomination ou la révocation d'un gérant. La modification des statuts est décidée par les associés représentant au moins les trois quarts des parts sociales.</w:t>
      </w:r>
    </w:p>
    <w:p>
      <w:pPr>
        <w:pBdr>
          <w:bottom w:val="single" w:color="1F5F4F" w:sz="12" w:space="2"/>
        </w:pBdr>
        <w:spacing w:after="120" w:before="260"/>
      </w:pPr>
      <w:r>
        <w:rPr>
          <w:b/>
          <w:bCs/>
          <w:color w:val="000000"/>
          <w:sz w:val="23"/>
          <w:szCs w:val="23"/>
        </w:rPr>
        <w:t xml:space="preserve">Article 18 — Commissaire aux comptes</w:t>
      </w:r>
    </w:p>
    <w:p>
      <w:pPr>
        <w:spacing w:after="170" w:line="340"/>
        <w:jc w:val="both"/>
      </w:pPr>
      <w:r>
        <w:rPr>
          <w:sz w:val="22"/>
          <w:szCs w:val="22"/>
        </w:rPr>
        <w:t xml:space="preserve">Un commissaire aux comptes pourra être désigné dans les conditions fixées par les dispositions légales et réglementaires. Lorsque sa nomination est obligatoire, il est désigné pour six exercices sociaux.</w:t>
      </w:r>
    </w:p>
    <w:p>
      <w:pPr>
        <w:pBdr>
          <w:bottom w:val="single" w:color="1F5F4F" w:sz="12" w:space="2"/>
        </w:pBdr>
        <w:spacing w:after="120" w:before="260"/>
      </w:pPr>
      <w:r>
        <w:rPr>
          <w:b/>
          <w:bCs/>
          <w:color w:val="000000"/>
          <w:sz w:val="23"/>
          <w:szCs w:val="23"/>
        </w:rPr>
        <w:t xml:space="preserve">Article 19 — Exercice social et comptes annuels</w:t>
      </w:r>
    </w:p>
    <w:p>
      <w:pPr>
        <w:spacing w:after="170" w:line="340"/>
        <w:jc w:val="both"/>
      </w:pPr>
      <w:r>
        <w:rPr>
          <w:color w:val="000000"/>
          <w:sz w:val="22"/>
          <w:szCs w:val="22"/>
        </w:rPr>
        <w:t xml:space="preserve">L'exercice social commence le 1er janvier et finit le 31 décembre. À titre d'exception, le premier exercice social débutera à la date d'immatriculation de la Société et finira le </w:t>
      </w:r>
      <w:r>
        <w:rPr>
          <w:b/>
          <w:bCs/>
          <w:color w:val="6B4500"/>
          <w:sz w:val="22"/>
          <w:szCs w:val="22"/>
          <w:shd w:fill="FFE066" w:color="auto" w:val="clear"/>
        </w:rPr>
        <w:t xml:space="preserve">《 DATE DE CLÔTURE DU 1er EXERCICE 》</w:t>
      </w:r>
      <w:r>
        <w:rPr>
          <w:color w:val="000000"/>
          <w:sz w:val="22"/>
          <w:szCs w:val="22"/>
        </w:rPr>
        <w:t xml:space="preserve">. À la clôture de chaque exercice, la gérance établit les comptes annuels conformément aux dispositions légales et réglementaires ; les associés statuent sur les comptes dans les délais légaux.</w:t>
      </w:r>
    </w:p>
    <w:p>
      <w:pPr>
        <w:pBdr>
          <w:bottom w:val="single" w:color="1F5F4F" w:sz="12" w:space="2"/>
        </w:pBdr>
        <w:spacing w:after="120" w:before="260"/>
      </w:pPr>
      <w:r>
        <w:rPr>
          <w:b/>
          <w:bCs/>
          <w:color w:val="000000"/>
          <w:sz w:val="23"/>
          <w:szCs w:val="23"/>
        </w:rPr>
        <w:t xml:space="preserve">Article 20 — Affectation et répartition des bénéfices</w:t>
      </w:r>
    </w:p>
    <w:p>
      <w:pPr>
        <w:spacing w:after="170" w:line="340"/>
        <w:jc w:val="both"/>
      </w:pPr>
      <w:r>
        <w:rPr>
          <w:sz w:val="22"/>
          <w:szCs w:val="22"/>
        </w:rPr>
        <w:t xml:space="preserve">La différence entre les produits et les charges de l'exercice, après déduction des amortissements et des provisions, constitue le bénéfice ou la perte de l'exercice. Sur ce bénéfice diminué, le cas échéant, des pertes antérieures, il est prélevé cinq pour cent pour constituer le fonds de réserve légale ; ce prélèvement cesse d'être obligatoire lorsque le fonds de réserve a atteint le dixième du capital social. Le bénéfice distribuable est constitué par le bénéfice de l'exercice, diminué des pertes antérieures et de la dotation à la réserve légale et augmenté des reports bénéficiaires.</w:t>
      </w:r>
    </w:p>
    <w:p>
      <w:pPr>
        <w:spacing w:after="170" w:line="340"/>
        <w:jc w:val="both"/>
      </w:pPr>
      <w:r>
        <w:rPr>
          <w:color w:val="000000"/>
          <w:sz w:val="22"/>
          <w:szCs w:val="22"/>
        </w:rPr>
        <w:t xml:space="preserve">Conformément à l'article 1844-1 alinéa 1er du Code civil, les statuts dérogent au principe de proportionnalité de la répartition des bénéfices au capital social selon les modalités suivantes : les parts sociales de catégorie B donnent droit, par priorité, à un dividende préférentiel représentant </w:t>
      </w:r>
      <w:r>
        <w:rPr>
          <w:b/>
          <w:bCs/>
          <w:color w:val="6B4500"/>
          <w:sz w:val="22"/>
          <w:szCs w:val="22"/>
          <w:shd w:fill="FFE066" w:color="auto" w:val="clear"/>
        </w:rPr>
        <w:t xml:space="preserve">《 POURCENTAGE PRÉFÉRENTIEL (ex. 99) 》</w:t>
      </w:r>
      <w:r>
        <w:rPr>
          <w:color w:val="000000"/>
          <w:sz w:val="22"/>
          <w:szCs w:val="22"/>
        </w:rPr>
        <w:t xml:space="preserve"> % du bénéfice distribuable mis en distribution par décision collective des associés ; le solde, soit </w:t>
      </w:r>
      <w:r>
        <w:rPr>
          <w:b/>
          <w:bCs/>
          <w:color w:val="6B4500"/>
          <w:sz w:val="22"/>
          <w:szCs w:val="22"/>
          <w:shd w:fill="FFE066" w:color="auto" w:val="clear"/>
        </w:rPr>
        <w:t xml:space="preserve">《 SOLDE (ex. 1) 》</w:t>
      </w:r>
      <w:r>
        <w:rPr>
          <w:color w:val="000000"/>
          <w:sz w:val="22"/>
          <w:szCs w:val="22"/>
        </w:rPr>
        <w:t xml:space="preserve"> % du bénéfice distribuable mis en distribution, est réparti entre les parts sociales ordinaires au prorata du nombre de parts détenues.</w:t>
      </w:r>
    </w:p>
    <w:p>
      <w:pPr>
        <w:spacing w:after="170" w:line="340"/>
        <w:jc w:val="both"/>
      </w:pPr>
      <w:r>
        <w:rPr>
          <w:sz w:val="22"/>
          <w:szCs w:val="22"/>
        </w:rPr>
        <w:t xml:space="preserve">Conformément à l'article 1844-1 alinéa 2 du Code civil, aucune des deux catégories de parts ne peut être totalement privée du droit aux bénéfices ni exonérée de la contribution aux pertes. Cette répartition préférentielle s'applique également, le cas échéant, à la mise en distribution des réserves dont l'assemblée générale a la disposition. Ce bénéfice est à la disposition de l'assemblée générale qui, sur proposition de la gérance, peut le reporter à nouveau, l'affecter à des fonds de réserve, ou le distribuer aux associés à titre de dividende selon la répartition préférentielle ci-dessus. Toutefois, le dividende est prélevé par priorité sur le bénéfice distribuable de l'exercice.</w:t>
      </w:r>
    </w:p>
    <w:p>
      <w:pPr>
        <w:pBdr>
          <w:bottom w:val="single" w:color="1F5F4F" w:sz="12" w:space="2"/>
        </w:pBdr>
        <w:spacing w:after="120" w:before="260"/>
      </w:pPr>
      <w:r>
        <w:rPr>
          <w:b/>
          <w:bCs/>
          <w:color w:val="000000"/>
          <w:sz w:val="23"/>
          <w:szCs w:val="23"/>
        </w:rPr>
        <w:t xml:space="preserve">Article 21 — Contestations</w:t>
      </w:r>
    </w:p>
    <w:p>
      <w:pPr>
        <w:spacing w:after="170" w:line="340"/>
        <w:jc w:val="both"/>
      </w:pPr>
      <w:r>
        <w:rPr>
          <w:sz w:val="22"/>
          <w:szCs w:val="22"/>
        </w:rPr>
        <w:t xml:space="preserve">En cas de différend entre associés relatif à l'interprétation ou à l'exécution des présents statuts, les parties s'efforceront, préalablement à toute action contentieuse, de soumettre leur litige au Conseil départemental de l'Ordre compétent afin de rechercher une solution amiable. À défaut de conciliation, le litige sera porté devant la juridiction compétente.</w:t>
      </w:r>
    </w:p>
    <w:p>
      <w:pPr>
        <w:pBdr>
          <w:bottom w:val="single" w:color="1F5F4F" w:sz="12" w:space="2"/>
        </w:pBdr>
        <w:spacing w:after="120" w:before="260"/>
      </w:pPr>
      <w:r>
        <w:rPr>
          <w:b/>
          <w:bCs/>
          <w:color w:val="000000"/>
          <w:sz w:val="23"/>
          <w:szCs w:val="23"/>
        </w:rPr>
        <w:t xml:space="preserve">Article 22 — Communication au Conseil départemental de l'Ordre</w:t>
      </w:r>
    </w:p>
    <w:p>
      <w:pPr>
        <w:spacing w:after="170" w:line="340"/>
        <w:jc w:val="both"/>
      </w:pPr>
      <w:r>
        <w:rPr>
          <w:sz w:val="22"/>
          <w:szCs w:val="22"/>
        </w:rPr>
        <w:t xml:space="preserve">La Société est constituée sous la condition suspensive de son inscription au tableau de l'Ordre. Les associés accompliront les formalités requises auprès du Conseil départemental compétent en vue de cette inscription. En cas de modification des statuts, la gérance devra procéder aux communications et formalités requises auprès du Conseil départemental, conformément aux textes applicables, notamment à l'article L. 4113-9 du Code de la santé publique.</w:t>
      </w:r>
    </w:p>
    <w:p>
      <w:pPr>
        <w:pBdr>
          <w:bottom w:val="single" w:color="1F5F4F" w:sz="12" w:space="2"/>
        </w:pBdr>
        <w:spacing w:after="120" w:before="260"/>
      </w:pPr>
      <w:r>
        <w:rPr>
          <w:b/>
          <w:bCs/>
          <w:color w:val="000000"/>
          <w:sz w:val="23"/>
          <w:szCs w:val="23"/>
        </w:rPr>
        <w:t xml:space="preserve">Article 23 — Reprise des actes accomplis pour le compte de la Société en formation</w:t>
      </w:r>
    </w:p>
    <w:p>
      <w:pPr>
        <w:spacing w:after="170" w:line="340"/>
        <w:jc w:val="both"/>
      </w:pPr>
      <w:r>
        <w:rPr>
          <w:sz w:val="22"/>
          <w:szCs w:val="22"/>
        </w:rPr>
        <w:t xml:space="preserve">Un état des actes accomplis pour le compte de la Société en formation est annexé aux présents statuts. La signature des présents statuts emportera reprise de ces engagements par la Société dès son immatriculation au registre du commerce et des sociétés.</w:t>
      </w:r>
    </w:p>
    <w:p>
      <w:pPr>
        <w:pBdr>
          <w:bottom w:val="single" w:color="1F5F4F" w:sz="12" w:space="2"/>
        </w:pBdr>
        <w:spacing w:after="120" w:before="260"/>
      </w:pPr>
      <w:r>
        <w:rPr>
          <w:b/>
          <w:bCs/>
          <w:color w:val="000000"/>
          <w:sz w:val="23"/>
          <w:szCs w:val="23"/>
        </w:rPr>
        <w:t xml:space="preserve">Article 24 — Pouvoirs</w:t>
      </w:r>
    </w:p>
    <w:p>
      <w:pPr>
        <w:spacing w:after="170" w:line="340"/>
        <w:jc w:val="both"/>
      </w:pPr>
      <w:r>
        <w:rPr>
          <w:sz w:val="22"/>
          <w:szCs w:val="22"/>
        </w:rPr>
        <w:t xml:space="preserve">Tous pouvoirs sont donnés au porteur d'un original, d'une copie ou d'un extrait des présents statuts pour accomplir toutes formalités légales de dépôt, publicité et immatriculation.</w:t>
      </w:r>
    </w:p>
    <w:p>
      <w:r>
        <w:t xml:space="preserve"/>
      </w:r>
    </w:p>
    <w:p>
      <w:pPr>
        <w:spacing w:after="170" w:line="340"/>
        <w:jc w:val="right"/>
      </w:pPr>
      <w:r>
        <w:rPr>
          <w:color w:val="000000"/>
          <w:sz w:val="22"/>
          <w:szCs w:val="22"/>
        </w:rPr>
        <w:t xml:space="preserve">Fait à </w:t>
      </w:r>
      <w:r>
        <w:rPr>
          <w:b/>
          <w:bCs/>
          <w:color w:val="6B4500"/>
          <w:sz w:val="22"/>
          <w:szCs w:val="22"/>
          <w:shd w:fill="FFE066" w:color="auto" w:val="clear"/>
        </w:rPr>
        <w:t xml:space="preserve">《 LIEU 》</w:t>
      </w:r>
      <w:r>
        <w:rPr>
          <w:color w:val="000000"/>
          <w:sz w:val="22"/>
          <w:szCs w:val="22"/>
        </w:rPr>
        <w:t xml:space="preserve">, le </w:t>
      </w:r>
      <w:r>
        <w:rPr>
          <w:b/>
          <w:bCs/>
          <w:color w:val="6B4500"/>
          <w:sz w:val="22"/>
          <w:szCs w:val="22"/>
          <w:shd w:fill="FFE066" w:color="auto" w:val="clear"/>
        </w:rPr>
        <w:t xml:space="preserve">《 DATE 》</w:t>
      </w:r>
    </w:p>
    <w:p>
      <w:r>
        <w:t xml:space="preserve"/>
      </w:r>
    </w:p>
    <w:p>
      <w:pPr>
        <w:spacing w:after="500" w:line="340"/>
        <w:jc w:val="right"/>
      </w:pPr>
      <w:r>
        <w:rPr>
          <w:i/>
          <w:iCs/>
          <w:color w:val="000000"/>
          <w:sz w:val="22"/>
          <w:szCs w:val="22"/>
        </w:rPr>
        <w:t xml:space="preserve">Signatures des associés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5"/>
        <w:szCs w:val="15"/>
      </w:rPr>
      <w:t xml:space="preserve">Page </w:t>
    </w:r>
    <w:r>
      <w:rPr>
        <w:color w:val="666666"/>
        <w:sz w:val="15"/>
        <w:szCs w:val="15"/>
      </w:rPr>
      <w:fldChar w:fldCharType="begin"/>
      <w:instrText xml:space="preserve">PAGE</w:instrText>
      <w:fldChar w:fldCharType="separate"/>
      <w:fldChar w:fldCharType="end"/>
    </w:r>
    <w:r>
      <w:rPr>
        <w:color w:val="666666"/>
        <w:sz w:val="15"/>
        <w:szCs w:val="15"/>
      </w:rPr>
      <w:t xml:space="preserve"> / </w:t>
    </w:r>
    <w:r>
      <w:rPr>
        <w:color w:val="66666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66666" w:sz="4" w:space="2"/>
      </w:pBdr>
      <w:jc w:val="right"/>
    </w:pPr>
    <w:r>
      <w:rPr>
        <w:color w:val="666666"/>
        <w:sz w:val="15"/>
        <w:szCs w:val="15"/>
      </w:rPr>
      <w:t xml:space="preserve">MODÈLE À COMPLÉTER · SELARL  · Statuts constitutifs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color w:val="1F5F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A82F6900AF748946AFEBC85000E0D" ma:contentTypeVersion="11" ma:contentTypeDescription="Crée un document." ma:contentTypeScope="" ma:versionID="34d2daf7a2564bdbf51a79ad05c4b61e">
  <xsd:schema xmlns:xsd="http://www.w3.org/2001/XMLSchema" xmlns:xs="http://www.w3.org/2001/XMLSchema" xmlns:p="http://schemas.microsoft.com/office/2006/metadata/properties" xmlns:ns2="f55ca430-1e2d-4961-be59-c9a111540732" xmlns:ns3="cf932520-d305-4ea5-a603-bf6b3d9a3e8d" targetNamespace="http://schemas.microsoft.com/office/2006/metadata/properties" ma:root="true" ma:fieldsID="5e8fb6760b4813b0001e32ce6d1920d3" ns2:_="" ns3:_="">
    <xsd:import namespace="f55ca430-1e2d-4961-be59-c9a111540732"/>
    <xsd:import namespace="cf932520-d305-4ea5-a603-bf6b3d9a3e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ca430-1e2d-4961-be59-c9a111540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1ae398-2c75-4d3a-9b83-7879fbfd3e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32520-d305-4ea5-a603-bf6b3d9a3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881bc-dc86-486f-91fa-6fb0f8681428}" ma:internalName="TaxCatchAll" ma:showField="CatchAllData" ma:web="cf932520-d305-4ea5-a603-bf6b3d9a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ca430-1e2d-4961-be59-c9a111540732">
      <Terms xmlns="http://schemas.microsoft.com/office/infopath/2007/PartnerControls"/>
    </lcf76f155ced4ddcb4097134ff3c332f>
    <TaxCatchAll xmlns="cf932520-d305-4ea5-a603-bf6b3d9a3e8d" xsi:nil="true"/>
  </documentManagement>
</p:properties>
</file>

<file path=customXml/itemProps1.xml><?xml version="1.0" encoding="utf-8"?>
<ds:datastoreItem xmlns:ds="http://schemas.openxmlformats.org/officeDocument/2006/customXml" ds:itemID="{6213F8D9-BE66-41F0-B67A-954843C4EE38}"/>
</file>

<file path=customXml/itemProps2.xml><?xml version="1.0" encoding="utf-8"?>
<ds:datastoreItem xmlns:ds="http://schemas.openxmlformats.org/officeDocument/2006/customXml" ds:itemID="{022110D6-BBE1-4247-A69E-ADE4C361B71B}"/>
</file>

<file path=customXml/itemProps3.xml><?xml version="1.0" encoding="utf-8"?>
<ds:datastoreItem xmlns:ds="http://schemas.openxmlformats.org/officeDocument/2006/customXml" ds:itemID="{5BED0070-D19C-49A0-B16C-A54D6783556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SELARL — société</dc:title>
  <dc:creator>Cabinet Ascencia</dc:creator>
  <cp:lastModifiedBy>Un-named</cp:lastModifiedBy>
  <cp:revision>1</cp:revision>
  <dcterms:created xsi:type="dcterms:W3CDTF">2026-06-14T13:49:53Z</dcterms:created>
  <dcterms:modified xsi:type="dcterms:W3CDTF">2026-06-14T13:49:53Z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0x01010074CA82F6900AF748946AFEBC85000E0D</vt:lpwstr>
  </property>
</Properties>
</file>